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hebrews-3"/>
    <w:p>
      <w:pPr>
        <w:pStyle w:val="Heading1"/>
      </w:pPr>
      <w:r>
        <w:t xml:space="preserve">Homiletics Analysis: Hebrews 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 — Hebrews as a Whole:</w:t>
      </w:r>
      <w:r>
        <w:t xml:space="preserve"> </w:t>
      </w:r>
      <w:r>
        <w:t xml:space="preserve">Hebrews is a sustained argument addressed to Jewish believers under pressure to abandon their confession of Christ and return to the Mosaic covenant structures. The author moves through a series of comparisons — Christ superior to angels (1:1–2:18), to Moses (3:1–4:13), to the Levitical priesthood (4:14–10:18) — each designed not merely to establish theological hierarchy but to render apostasy unthinkable and dangerous. Chapter 3 sits at the hinge of the Moses comparison, and its warning section (vv. 7–19) reaches back to Psalm 95 and the Kadesh Barnea generation to dramatize what is at stake.</w:t>
      </w:r>
    </w:p>
    <w:p>
      <w:pPr>
        <w:pStyle w:val="BodyText"/>
      </w:pPr>
      <w:r>
        <w:rPr>
          <w:b/>
          <w:bCs/>
        </w:rPr>
        <w:t xml:space="preserve">This Text — Content:</w:t>
      </w:r>
      <w:r>
        <w:t xml:space="preserve"> </w:t>
      </w:r>
      <w:r>
        <w:t xml:space="preserve">Chapter 3 opens with a direct address —</w:t>
      </w:r>
      <w:r>
        <w:t xml:space="preserve"> </w:t>
      </w:r>
      <w:r>
        <w:t xml:space="preserve">“holy brothers, who share in a heavenly calling”</w:t>
      </w:r>
      <w:r>
        <w:t xml:space="preserve"> </w:t>
      </w:r>
      <w:r>
        <w:t xml:space="preserve">— and immediately directs attention to Jesus as the Apostle and High Priest of their confession (v. 1). The author compares Jesus and Moses, not to diminish Moses but to establish Christ’s incomparable dignity: Moses was faithful</w:t>
      </w:r>
      <w:r>
        <w:t xml:space="preserve"> </w:t>
      </w:r>
      <w:r>
        <w:rPr>
          <w:i/>
          <w:iCs/>
        </w:rPr>
        <w:t xml:space="preserve">in</w:t>
      </w:r>
      <w:r>
        <w:t xml:space="preserve"> </w:t>
      </w:r>
      <w:r>
        <w:t xml:space="preserve">God’s house as a servant; Jesus is faithful</w:t>
      </w:r>
      <w:r>
        <w:t xml:space="preserve"> </w:t>
      </w:r>
      <w:r>
        <w:rPr>
          <w:i/>
          <w:iCs/>
        </w:rPr>
        <w:t xml:space="preserve">over</w:t>
      </w:r>
      <w:r>
        <w:t xml:space="preserve"> </w:t>
      </w:r>
      <w:r>
        <w:t xml:space="preserve">God’s house as a Son (vv. 2–6). The house itself is God’s people, and the readers are that house — if they hold fast. Beginning in verse 7, the author quotes Psalm 95:7–11 at length, invoking the wilderness generation whose unbelief cost them Canaan. The warning that follows (vv. 12–19) is direct and pastoral: do not let an evil heart of unbelief develop, harden through sin’s deceit, or lead to falling away from the living God. The antidote is mutual exhortation —</w:t>
      </w:r>
      <w:r>
        <w:t xml:space="preserve"> </w:t>
      </w:r>
      <w:r>
        <w:t xml:space="preserve">“encourage one another daily”</w:t>
      </w:r>
      <w:r>
        <w:t xml:space="preserve"> </w:t>
      </w:r>
      <w:r>
        <w:t xml:space="preserve">— and the chapter ends with the stark assessment that the wilderness generation failed to enter rest because of unbelief.</w:t>
      </w:r>
    </w:p>
    <w:p>
      <w:pPr>
        <w:pStyle w:val="BodyText"/>
      </w:pPr>
      <w:r>
        <w:rPr>
          <w:b/>
          <w:bCs/>
        </w:rPr>
        <w:t xml:space="preserve">This Text — Intent:</w:t>
      </w:r>
      <w:r>
        <w:t xml:space="preserve"> </w:t>
      </w:r>
      <w:r>
        <w:t xml:space="preserve">God is seeking through this chapter to produce in readers a clear-eyed, sobered urgency about the danger of hardening their hearts — and simultaneously a confident, community-sustained clinging to Christ. The dual movement is essential: the warning is not designed to produce anxiety about one’s standing but to produce active, daily, communal vigilance against the drift that precedes apostasy. God is calling readers to</w:t>
      </w:r>
      <w:r>
        <w:t xml:space="preserve"> </w:t>
      </w:r>
      <w:r>
        <w:rPr>
          <w:i/>
          <w:iCs/>
        </w:rPr>
        <w:t xml:space="preserve">see Jesus</w:t>
      </w:r>
      <w:r>
        <w:t xml:space="preserve"> </w:t>
      </w:r>
      <w:r>
        <w:t xml:space="preserve">(v. 1) and to</w:t>
      </w:r>
      <w:r>
        <w:t xml:space="preserve"> </w:t>
      </w:r>
      <w:r>
        <w:rPr>
          <w:i/>
          <w:iCs/>
        </w:rPr>
        <w:t xml:space="preserve">hold fast</w:t>
      </w:r>
      <w:r>
        <w:t xml:space="preserve"> </w:t>
      </w:r>
      <w:r>
        <w:t xml:space="preserve">(v. 6, 14) — not as two separate commands but as a single posture: eyes on Christ, grip tightened, voices in each other’s ears.</w:t>
      </w:r>
    </w:p>
    <w:p>
      <w:r>
        <w:pict>
          <v:rect style="width:0;height:1.5pt" o:hralign="center" o:hrstd="t" o:hr="t"/>
        </w:pict>
      </w:r>
    </w:p>
    <w:p>
      <w:pPr>
        <w:pStyle w:val="FirstParagraph"/>
      </w:pPr>
      <w:r>
        <w:rPr>
          <w:b/>
          <w:bCs/>
        </w:rPr>
        <w:t xml:space="preserve">Subject Sentence:</w:t>
      </w:r>
      <w:r>
        <w:t xml:space="preserve"> </w:t>
      </w:r>
      <w:r>
        <w:t xml:space="preserve">Christ surpasses Moses — hold fast to Him or risk the wilderness generation’s fatal unbelief.</w:t>
      </w:r>
    </w:p>
    <w:p>
      <w:r>
        <w:pict>
          <v:rect style="width:0;height:1.5pt" o:hralign="center" o:hrstd="t" o:hr="t"/>
        </w:pict>
      </w:r>
    </w:p>
    <w:p>
      <w:pPr>
        <w:pStyle w:val="FirstParagraph"/>
      </w:pPr>
      <w:r>
        <w:rPr>
          <w:b/>
          <w:bCs/>
        </w:rPr>
        <w:t xml:space="preserve">Primary Claim:</w:t>
      </w:r>
      <w:r>
        <w:t xml:space="preserve"> </w:t>
      </w:r>
      <w:r>
        <w:t xml:space="preserve">God is warning His people that the same hardening that destroyed the wilderness generation is possible today — and commanding them to fix their eyes on the superior Son and hold fast together, because unbelief does not announce itself; it accumulates.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w:t>
      </w:r>
      <w:r>
        <w:rPr>
          <w:b/>
          <w:bCs/>
        </w:rPr>
        <w:t xml:space="preserve"> </w:t>
      </w:r>
      <w:r>
        <w:rPr>
          <w:b/>
          <w:bCs/>
        </w:rPr>
        <w:t xml:space="preserve">“falling away”</w:t>
      </w:r>
      <w:r>
        <w:rPr>
          <w:b/>
          <w:bCs/>
        </w:rPr>
        <w:t xml:space="preserve"> </w:t>
      </w:r>
      <w:r>
        <w:rPr>
          <w:b/>
          <w:bCs/>
        </w:rPr>
        <w:t xml:space="preserve">language (v. 12) and the eternal security question:</w:t>
      </w:r>
      <w:r>
        <w:t xml:space="preserve"> </w:t>
      </w:r>
      <w:r>
        <w:t xml:space="preserve">The most significant and recurring interpretive dispute in Hebrews 3 concerns whether the warning of verse 12 —</w:t>
      </w:r>
      <w:r>
        <w:t xml:space="preserve"> </w:t>
      </w:r>
      <w:r>
        <w:t xml:space="preserve">“take care, brothers, lest there be in any of you an evil, unbelieving heart, leading you to fall away from the living God”</w:t>
      </w:r>
      <w:r>
        <w:t xml:space="preserve"> </w:t>
      </w:r>
      <w:r>
        <w:t xml:space="preserve">— implies that genuine believers can lose their salvation. Arminian and Wesleyan readers often press this verse hard: the addressees are called</w:t>
      </w:r>
      <w:r>
        <w:t xml:space="preserve"> </w:t>
      </w:r>
      <w:r>
        <w:t xml:space="preserve">“brothers,”</w:t>
      </w:r>
      <w:r>
        <w:t xml:space="preserve"> </w:t>
      </w:r>
      <w:r>
        <w:t xml:space="preserve">the warning is urgent, and</w:t>
      </w:r>
      <w:r>
        <w:t xml:space="preserve"> </w:t>
      </w:r>
      <w:r>
        <w:t xml:space="preserve">“falling away from the living God”</w:t>
      </w:r>
      <w:r>
        <w:t xml:space="preserve"> </w:t>
      </w:r>
      <w:r>
        <w:t xml:space="preserve">sounds like the loss of saving grace. On this reading, the text is a genuine possibility warning to genuine believers who may genuinely apostatize.</w:t>
      </w:r>
    </w:p>
    <w:p>
      <w:pPr>
        <w:pStyle w:val="BodyText"/>
      </w:pPr>
      <w:r>
        <w:t xml:space="preserve">The Reformed reading does not deny the seriousness of the warning. Rather, it argues that the warning</w:t>
      </w:r>
      <w:r>
        <w:t xml:space="preserve"> </w:t>
      </w:r>
      <w:r>
        <w:rPr>
          <w:i/>
          <w:iCs/>
        </w:rPr>
        <w:t xml:space="preserve">is itself the means</w:t>
      </w:r>
      <w:r>
        <w:t xml:space="preserve"> </w:t>
      </w:r>
      <w:r>
        <w:t xml:space="preserve">God uses to preserve His elect — not evidence that preservation is uncertain. The wilderness generation parallel is instructive here: the generation that perished in the desert serves as a type of those who profess but do not possess. Hebrews never says they lost what they once had; it says they never entered rest because of unbelief. The category distinction the author develops throughout Hebrews is between genuine faith and near-faith — those who taste (6:4–5) without consuming, those who are near the house without being the house. The conditional framing of verse 6 (</w:t>
      </w:r>
      <w:r>
        <w:t xml:space="preserve">“we are his house,</w:t>
      </w:r>
      <w:r>
        <w:t xml:space="preserve"> </w:t>
      </w:r>
      <w:r>
        <w:rPr>
          <w:i/>
          <w:iCs/>
        </w:rPr>
        <w:t xml:space="preserve">if</w:t>
      </w:r>
      <w:r>
        <w:t xml:space="preserve"> </w:t>
      </w:r>
      <w:r>
        <w:t xml:space="preserve">we hold our confidence”</w:t>
      </w:r>
      <w:r>
        <w:t xml:space="preserve">) is best read not as a condition of ongoing merit but as a description of what genuine faith looks like — it holds fast. Those who do not hold fast thereby demonstrate the faith was not genuine.</w:t>
      </w:r>
    </w:p>
    <w:p>
      <w:pPr>
        <w:pStyle w:val="BodyText"/>
      </w:pPr>
      <w:r>
        <w:t xml:space="preserve">The Arminian reading should be</w:t>
      </w:r>
      <w:r>
        <w:t xml:space="preserve"> </w:t>
      </w:r>
      <w:r>
        <w:rPr>
          <w:i/>
          <w:iCs/>
        </w:rPr>
        <w:t xml:space="preserve">acknowledged</w:t>
      </w:r>
      <w:r>
        <w:t xml:space="preserve"> </w:t>
      </w:r>
      <w:r>
        <w:t xml:space="preserve">at one point: it correctly insists the warning is real and the danger is real, and any exposition that flattens the urgency by leaping too quickly to</w:t>
      </w:r>
      <w:r>
        <w:t xml:space="preserve"> </w:t>
      </w:r>
      <w:r>
        <w:t xml:space="preserve">“but you’re elect so relax”</w:t>
      </w:r>
      <w:r>
        <w:t xml:space="preserve"> </w:t>
      </w:r>
      <w:r>
        <w:t xml:space="preserve">has misread the passage’s intent. The warning is the instrument, not an overstatement. The Reformed reading must land the warning with full force before and while maintaining the doctrinal framework.</w:t>
      </w:r>
    </w:p>
    <w:p>
      <w:pPr>
        <w:pStyle w:val="BodyText"/>
      </w:pPr>
      <w:r>
        <w:t xml:space="preserve">The Dispensational reading, which sometimes distinguishes between the</w:t>
      </w:r>
      <w:r>
        <w:t xml:space="preserve"> </w:t>
      </w:r>
      <w:r>
        <w:t xml:space="preserve">“rest”</w:t>
      </w:r>
      <w:r>
        <w:t xml:space="preserve"> </w:t>
      </w:r>
      <w:r>
        <w:t xml:space="preserve">in view in Hebrews 3–4 as earthly millennial rest rather than eternal salvation, should be noted and</w:t>
      </w:r>
      <w:r>
        <w:t xml:space="preserve"> </w:t>
      </w:r>
      <w:r>
        <w:rPr>
          <w:i/>
          <w:iCs/>
        </w:rPr>
        <w:t xml:space="preserve">qualified</w:t>
      </w:r>
      <w:r>
        <w:t xml:space="preserve">. While Hebrews does draw on the Canaan typology, the author’s explicit citation of Psalm 95 and the extension of</w:t>
      </w:r>
      <w:r>
        <w:t xml:space="preserve"> </w:t>
      </w:r>
      <w:r>
        <w:t xml:space="preserve">“today”</w:t>
      </w:r>
      <w:r>
        <w:t xml:space="preserve"> </w:t>
      </w:r>
      <w:r>
        <w:t xml:space="preserve">into the present moment of the readers suggests the rest in view transcends any historical land promise. The author’s application to his readers — none of whom are awaiting Canaan — confirms the rest is eschatological and spiritual, not primarily geo-political.</w:t>
      </w:r>
    </w:p>
    <w:p>
      <w:pPr>
        <w:pStyle w:val="BodyText"/>
      </w:pPr>
      <w:r>
        <w:rPr>
          <w:b/>
          <w:bCs/>
        </w:rPr>
        <w:t xml:space="preserve">Moses as mediator vs. Moses as type:</w:t>
      </w:r>
      <w:r>
        <w:t xml:space="preserve"> </w:t>
      </w:r>
      <w:r>
        <w:t xml:space="preserve">Some interpreters in the typological tradition read Moses primarily as a Christological type in this passage — Moses is significant mainly as a pointer to Christ. While there is typological movement in the passage (servant vs. Son; in the house vs. over the house), the author’s primary move in verses 2–6 is comparative, not typological. Moses is not disparaged or fully absorbed into a Christ-type — he is honored as genuinely faithful, and his faithfulness is then surpassed. The Reformed reading holds both: Moses was real, his faithfulness was real, his mediation was genuine — and Christ is categorically greater. This guards against an over-realized typology that implicitly denigrates the Mosaic covenant as mere shadow with no substantial content.</w:t>
      </w:r>
    </w:p>
    <w:p>
      <w:pPr>
        <w:pStyle w:val="BodyText"/>
      </w:pPr>
      <w:r>
        <w:rPr>
          <w:b/>
          <w:bCs/>
        </w:rPr>
        <w:t xml:space="preserve">The Reformed verdict:</w:t>
      </w:r>
      <w:r>
        <w:t xml:space="preserve"> </w:t>
      </w:r>
      <w:r>
        <w:t xml:space="preserve">The passage addresses genuine believers under genuine pressure with genuine warnings deployed as genuine means of preserving genuine faith. The exhortation to communal vigilance (v. 13), the call to daily encouragement, the diagnosis of hardening as a gradual process — these are not the concerns of a document uncertain about God’s sovereignty; they are the pastoral instruments of a God who sovereignly uses means. The wilderness generation is a</w:t>
      </w:r>
      <w:r>
        <w:t xml:space="preserve"> </w:t>
      </w:r>
      <w:r>
        <w:rPr>
          <w:i/>
          <w:iCs/>
        </w:rPr>
        <w:t xml:space="preserve">type of those outside</w:t>
      </w:r>
      <w:r>
        <w:t xml:space="preserve"> </w:t>
      </w:r>
      <w:r>
        <w:t xml:space="preserve">the final rest, and the warning is addressed to the congregation precisely because self-examination and communal accountability are the means by which apostasy is prevented among the elect and exposed among the non-elect.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Numbers 13–14</w:t>
      </w:r>
      <w:r>
        <w:t xml:space="preserve"> </w:t>
      </w:r>
      <w:r>
        <w:t xml:space="preserve">— The historical event underlying Psalm 95 and Hebrews 3: the Kadesh Barnea rebellion, in which Israel’s unbelief at the report of the spies cost an entire generation entry into the land. Hebrews reaches back to this event to show the pattern — proximity to God’s promises, exposure to His acts, and still a hardened heart that refuses to trust.</w:t>
      </w:r>
    </w:p>
    <w:p>
      <w:pPr>
        <w:numPr>
          <w:ilvl w:val="0"/>
          <w:numId w:val="1001"/>
        </w:numPr>
      </w:pPr>
      <w:r>
        <w:rPr>
          <w:b/>
          <w:bCs/>
        </w:rPr>
        <w:t xml:space="preserve">Psalm 95:7–11</w:t>
      </w:r>
      <w:r>
        <w:t xml:space="preserve"> </w:t>
      </w:r>
      <w:r>
        <w:t xml:space="preserve">— Quoted at length in vv. 7–11; the</w:t>
      </w:r>
      <w:r>
        <w:t xml:space="preserve"> </w:t>
      </w:r>
      <w:r>
        <w:t xml:space="preserve">“today”</w:t>
      </w:r>
      <w:r>
        <w:t xml:space="preserve"> </w:t>
      </w:r>
      <w:r>
        <w:t xml:space="preserve">of Psalm 95 is the hinge on which Hebrews’ argument turns. David’s use of</w:t>
      </w:r>
      <w:r>
        <w:t xml:space="preserve"> </w:t>
      </w:r>
      <w:r>
        <w:t xml:space="preserve">“today”</w:t>
      </w:r>
      <w:r>
        <w:t xml:space="preserve"> </w:t>
      </w:r>
      <w:r>
        <w:t xml:space="preserve">centuries after Kadesh Barnea proves to the author that the warning is not merely historical but perpetually present — a</w:t>
      </w:r>
      <w:r>
        <w:t xml:space="preserve"> </w:t>
      </w:r>
      <w:r>
        <w:t xml:space="preserve">“rest”</w:t>
      </w:r>
      <w:r>
        <w:t xml:space="preserve"> </w:t>
      </w:r>
      <w:r>
        <w:t xml:space="preserve">still open and a hardening still possible in any generation.</w:t>
      </w:r>
    </w:p>
    <w:p>
      <w:pPr>
        <w:numPr>
          <w:ilvl w:val="0"/>
          <w:numId w:val="1001"/>
        </w:numPr>
      </w:pPr>
      <w:r>
        <w:rPr>
          <w:b/>
          <w:bCs/>
        </w:rPr>
        <w:t xml:space="preserve">Numbers 12:7</w:t>
      </w:r>
      <w:r>
        <w:t xml:space="preserve"> </w:t>
      </w:r>
      <w:r>
        <w:t xml:space="preserve">—</w:t>
      </w:r>
      <w:r>
        <w:t xml:space="preserve"> </w:t>
      </w:r>
      <w:r>
        <w:t xml:space="preserve">“My servant Moses was faithful in all my house”</w:t>
      </w:r>
      <w:r>
        <w:t xml:space="preserve"> </w:t>
      </w:r>
      <w:r>
        <w:t xml:space="preserve">— the direct Old Testament background for the Moses comparison in vv. 2–3, confirming the author is not inventing a contrast but grounding it in the Torah’s own testimony about Moses.</w:t>
      </w:r>
    </w:p>
    <w:p>
      <w:pPr>
        <w:numPr>
          <w:ilvl w:val="0"/>
          <w:numId w:val="1001"/>
        </w:numPr>
      </w:pPr>
      <w:r>
        <w:rPr>
          <w:b/>
          <w:bCs/>
        </w:rPr>
        <w:t xml:space="preserve">John 10:27–29</w:t>
      </w:r>
      <w:r>
        <w:t xml:space="preserve"> </w:t>
      </w:r>
      <w:r>
        <w:t xml:space="preserve">—</w:t>
      </w:r>
      <w:r>
        <w:t xml:space="preserve"> </w:t>
      </w:r>
      <w:r>
        <w:t xml:space="preserve">“My sheep hear my voice… and no one will snatch them out of my hand.”</w:t>
      </w:r>
      <w:r>
        <w:t xml:space="preserve"> </w:t>
      </w:r>
      <w:r>
        <w:t xml:space="preserve">The Johannine anchor for the Reformed reading of Hebrews 3’s warnings: the warnings are the voice of the Shepherd keeping His sheep, not evidence that the Shepherd’s grip is uncertain.</w:t>
      </w:r>
    </w:p>
    <w:p>
      <w:pPr>
        <w:numPr>
          <w:ilvl w:val="0"/>
          <w:numId w:val="1001"/>
        </w:numPr>
      </w:pPr>
      <w:r>
        <w:rPr>
          <w:b/>
          <w:bCs/>
        </w:rPr>
        <w:t xml:space="preserve">Romans 8:13 / Colossians 3:5</w:t>
      </w:r>
      <w:r>
        <w:t xml:space="preserve"> </w:t>
      </w:r>
      <w:r>
        <w:t xml:space="preserve">— The New Testament pattern of mortification-as-preservation: the imperatives to</w:t>
      </w:r>
      <w:r>
        <w:t xml:space="preserve"> </w:t>
      </w:r>
      <w:r>
        <w:t xml:space="preserve">“put to death”</w:t>
      </w:r>
      <w:r>
        <w:t xml:space="preserve"> </w:t>
      </w:r>
      <w:r>
        <w:t xml:space="preserve">sin are addressed to those who are alive in Christ and are themselves the Spirit’s means of keeping them alive. Same logic as Hebrews 3’s warnings — the means and the security are not in tension.</w:t>
      </w:r>
    </w:p>
    <w:p>
      <w:r>
        <w:pict>
          <v:rect style="width:0;height:1.5pt" o:hralign="center" o:hrstd="t" o:hr="t"/>
        </w:pict>
      </w:r>
    </w:p>
    <w:p>
      <w:pPr>
        <w:pStyle w:val="FirstParagraph"/>
      </w:pPr>
      <w:r>
        <w:rPr>
          <w:b/>
          <w:bCs/>
        </w:rPr>
        <w:t xml:space="preserve">Aim:</w:t>
      </w:r>
      <w:r>
        <w:t xml:space="preserve"> </w:t>
      </w:r>
      <w:r>
        <w:t xml:space="preserve">To produce in readers a sobered vigilance that drives them to fix their eyes on Jesus and to pursue daily, accountable community as the God-ordained means of holding fast to their confession.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Direct address:</w:t>
            </w:r>
            <w:r>
              <w:t xml:space="preserve"> </w:t>
            </w:r>
            <w:r>
              <w:t xml:space="preserve">“holy brothers, who share in a heavenly calling”</w:t>
            </w:r>
            <w:r>
              <w:t xml:space="preserve"> </w:t>
            </w:r>
            <w:r>
              <w:t xml:space="preserve">— command to</w:t>
            </w:r>
            <w:r>
              <w:t xml:space="preserve"> </w:t>
            </w:r>
            <w:r>
              <w:rPr>
                <w:i/>
                <w:iCs/>
              </w:rPr>
              <w:t xml:space="preserve">consider</w:t>
            </w:r>
            <w:r>
              <w:t xml:space="preserve"> </w:t>
            </w:r>
            <w:r>
              <w:t xml:space="preserve">Jesus as Apostle and High Priest of their confession</w:t>
            </w:r>
          </w:p>
        </w:tc>
        <w:tc>
          <w:tcPr/>
          <w:p>
            <w:pPr>
              <w:pStyle w:val="Compact"/>
            </w:pPr>
            <w:r>
              <w:t xml:space="preserve">“Apostle”</w:t>
            </w:r>
            <w:r>
              <w:t xml:space="preserve"> </w:t>
            </w:r>
            <w:r>
              <w:t xml:space="preserve">(sent one) is unique to Hebrews in reference to Christ;</w:t>
            </w:r>
            <w:r>
              <w:t xml:space="preserve"> </w:t>
            </w:r>
            <w:r>
              <w:t xml:space="preserve">“High Priest”</w:t>
            </w:r>
            <w:r>
              <w:t xml:space="preserve"> </w:t>
            </w:r>
            <w:r>
              <w:t xml:space="preserve">picks up from 2:17; the call to</w:t>
            </w:r>
            <w:r>
              <w:t xml:space="preserve"> </w:t>
            </w:r>
            <w:r>
              <w:rPr>
                <w:i/>
                <w:iCs/>
              </w:rPr>
              <w:t xml:space="preserve">consider</w:t>
            </w:r>
            <w:r>
              <w:t xml:space="preserve"> </w:t>
            </w:r>
            <w:r>
              <w:t xml:space="preserve">(katanoeō) is active contemplation, not passive acknowledgment</w:t>
            </w:r>
          </w:p>
        </w:tc>
      </w:tr>
      <w:tr>
        <w:tc>
          <w:tcPr/>
          <w:p>
            <w:pPr>
              <w:pStyle w:val="Compact"/>
            </w:pPr>
            <w:r>
              <w:t xml:space="preserve">2</w:t>
            </w:r>
          </w:p>
        </w:tc>
        <w:tc>
          <w:tcPr/>
          <w:p>
            <w:pPr>
              <w:pStyle w:val="Compact"/>
            </w:pPr>
            <w:r>
              <w:t xml:space="preserve">Jesus was faithful to the one who appointed him,</w:t>
            </w:r>
            <w:r>
              <w:t xml:space="preserve"> </w:t>
            </w:r>
            <w:r>
              <w:t xml:space="preserve">“just as Moses also was faithful in all God’s house”</w:t>
            </w:r>
          </w:p>
        </w:tc>
        <w:tc>
          <w:tcPr/>
          <w:p>
            <w:pPr>
              <w:pStyle w:val="Compact"/>
            </w:pPr>
            <w:r>
              <w:t xml:space="preserve">The comparison opens with affirmation of Moses — he is not diminished but honored; faithfulness is the shared quality, then the contrast will follow</w:t>
            </w:r>
          </w:p>
        </w:tc>
      </w:tr>
      <w:tr>
        <w:tc>
          <w:tcPr/>
          <w:p>
            <w:pPr>
              <w:pStyle w:val="Compact"/>
            </w:pPr>
            <w:r>
              <w:t xml:space="preserve">3–4</w:t>
            </w:r>
          </w:p>
        </w:tc>
        <w:tc>
          <w:tcPr/>
          <w:p>
            <w:pPr>
              <w:pStyle w:val="Compact"/>
            </w:pPr>
            <w:r>
              <w:t xml:space="preserve">Jesus has been counted worthy of more glory than Moses, as the builder of the house has more honor than the house itself; God is the builder of all things</w:t>
            </w:r>
          </w:p>
        </w:tc>
        <w:tc>
          <w:tcPr/>
          <w:p>
            <w:pPr>
              <w:pStyle w:val="Compact"/>
            </w:pPr>
            <w:r>
              <w:t xml:space="preserve">The house/builder analogy: Moses was</w:t>
            </w:r>
            <w:r>
              <w:t xml:space="preserve"> </w:t>
            </w:r>
            <w:r>
              <w:rPr>
                <w:i/>
                <w:iCs/>
              </w:rPr>
              <w:t xml:space="preserve">in</w:t>
            </w:r>
            <w:r>
              <w:t xml:space="preserve"> </w:t>
            </w:r>
            <w:r>
              <w:t xml:space="preserve">the house; Jesus</w:t>
            </w:r>
            <w:r>
              <w:t xml:space="preserve"> </w:t>
            </w:r>
            <w:r>
              <w:rPr>
                <w:i/>
                <w:iCs/>
              </w:rPr>
              <w:t xml:space="preserve">built</w:t>
            </w:r>
            <w:r>
              <w:t xml:space="preserve"> </w:t>
            </w:r>
            <w:r>
              <w:t xml:space="preserve">the house — the one who constructs is greater than the construction</w:t>
            </w:r>
          </w:p>
        </w:tc>
      </w:tr>
      <w:tr>
        <w:tc>
          <w:tcPr/>
          <w:p>
            <w:pPr>
              <w:pStyle w:val="Compact"/>
            </w:pPr>
            <w:r>
              <w:t xml:space="preserve">5–6a</w:t>
            </w:r>
          </w:p>
        </w:tc>
        <w:tc>
          <w:tcPr/>
          <w:p>
            <w:pPr>
              <w:pStyle w:val="Compact"/>
            </w:pPr>
            <w:r>
              <w:t xml:space="preserve">Moses was faithful</w:t>
            </w:r>
            <w:r>
              <w:t xml:space="preserve"> </w:t>
            </w:r>
            <w:r>
              <w:rPr>
                <w:i/>
                <w:iCs/>
              </w:rPr>
              <w:t xml:space="preserve">as a servant</w:t>
            </w:r>
            <w:r>
              <w:t xml:space="preserve"> </w:t>
            </w:r>
            <w:r>
              <w:t xml:space="preserve">in God’s house, testifying to things to come; Christ is faithful</w:t>
            </w:r>
            <w:r>
              <w:t xml:space="preserve"> </w:t>
            </w:r>
            <w:r>
              <w:rPr>
                <w:i/>
                <w:iCs/>
              </w:rPr>
              <w:t xml:space="preserve">as a Son</w:t>
            </w:r>
            <w:r>
              <w:t xml:space="preserve"> </w:t>
            </w:r>
            <w:r>
              <w:t xml:space="preserve">over God’s house</w:t>
            </w:r>
          </w:p>
        </w:tc>
        <w:tc>
          <w:tcPr/>
          <w:p>
            <w:pPr>
              <w:pStyle w:val="Compact"/>
            </w:pPr>
            <w:r>
              <w:t xml:space="preserve">Servant (therapōn) vs. Son — not slave/son but attendant/son; Moses’ role was</w:t>
            </w:r>
            <w:r>
              <w:t xml:space="preserve"> </w:t>
            </w:r>
            <w:r>
              <w:rPr>
                <w:i/>
                <w:iCs/>
              </w:rPr>
              <w:t xml:space="preserve">testimonial</w:t>
            </w:r>
            <w:r>
              <w:t xml:space="preserve"> </w:t>
            </w:r>
            <w:r>
              <w:t xml:space="preserve">— pointing forward; Christ’s role is</w:t>
            </w:r>
            <w:r>
              <w:t xml:space="preserve"> </w:t>
            </w:r>
            <w:r>
              <w:rPr>
                <w:i/>
                <w:iCs/>
              </w:rPr>
              <w:t xml:space="preserve">filial and governing</w:t>
            </w:r>
          </w:p>
        </w:tc>
      </w:tr>
      <w:tr>
        <w:tc>
          <w:tcPr/>
          <w:p>
            <w:pPr>
              <w:pStyle w:val="Compact"/>
            </w:pPr>
            <w:r>
              <w:t xml:space="preserve">6b</w:t>
            </w:r>
          </w:p>
        </w:tc>
        <w:tc>
          <w:tcPr/>
          <w:p>
            <w:pPr>
              <w:pStyle w:val="Compact"/>
            </w:pPr>
            <w:r>
              <w:t xml:space="preserve">“We are his house,</w:t>
            </w:r>
            <w:r>
              <w:t xml:space="preserve"> </w:t>
            </w:r>
            <w:r>
              <w:rPr>
                <w:i/>
                <w:iCs/>
              </w:rPr>
              <w:t xml:space="preserve">if</w:t>
            </w:r>
            <w:r>
              <w:t xml:space="preserve"> </w:t>
            </w:r>
            <w:r>
              <w:t xml:space="preserve">indeed we hold fast our confidence and our boasting in our hope”</w:t>
            </w:r>
          </w:p>
        </w:tc>
        <w:tc>
          <w:tcPr/>
          <w:p>
            <w:pPr>
              <w:pStyle w:val="Compact"/>
            </w:pPr>
            <w:r>
              <w:t xml:space="preserve">The conditional is not merit but description: the house is constituted by those who hold fast; this is the first</w:t>
            </w:r>
            <w:r>
              <w:t xml:space="preserve"> </w:t>
            </w:r>
            <w:r>
              <w:t xml:space="preserve">“hold fast”</w:t>
            </w:r>
            <w:r>
              <w:t xml:space="preserve"> </w:t>
            </w:r>
            <w:r>
              <w:t xml:space="preserve">of the chapter</w:t>
            </w:r>
          </w:p>
        </w:tc>
      </w:tr>
      <w:tr>
        <w:tc>
          <w:tcPr/>
          <w:p>
            <w:pPr>
              <w:pStyle w:val="Compact"/>
            </w:pPr>
            <w:r>
              <w:t xml:space="preserve">7–11</w:t>
            </w:r>
          </w:p>
        </w:tc>
        <w:tc>
          <w:tcPr/>
          <w:p>
            <w:pPr>
              <w:pStyle w:val="Compact"/>
            </w:pPr>
            <w:r>
              <w:t xml:space="preserve">Extended quotation of Psalm 95:7–11:</w:t>
            </w:r>
            <w:r>
              <w:t xml:space="preserve"> </w:t>
            </w:r>
            <w:r>
              <w:t xml:space="preserve">“Today, if you hear his voice, do not harden your hearts as in the rebellion, on the day of testing in the wilderness…”</w:t>
            </w:r>
            <w:r>
              <w:t xml:space="preserve"> </w:t>
            </w:r>
            <w:r>
              <w:t xml:space="preserve">— God’s wrath, oath, exclusion from rest</w:t>
            </w:r>
          </w:p>
        </w:tc>
        <w:tc>
          <w:tcPr/>
          <w:p>
            <w:pPr>
              <w:pStyle w:val="Compact"/>
            </w:pPr>
            <w:r>
              <w:t xml:space="preserve">The Spirit speaks</w:t>
            </w:r>
            <w:r>
              <w:t xml:space="preserve"> </w:t>
            </w:r>
            <w:r>
              <w:rPr>
                <w:i/>
                <w:iCs/>
              </w:rPr>
              <w:t xml:space="preserve">present-tense</w:t>
            </w:r>
            <w:r>
              <w:t xml:space="preserve">:</w:t>
            </w:r>
            <w:r>
              <w:t xml:space="preserve"> </w:t>
            </w:r>
            <w:r>
              <w:t xml:space="preserve">“as the Holy Spirit says”</w:t>
            </w:r>
            <w:r>
              <w:t xml:space="preserve"> </w:t>
            </w:r>
            <w:r>
              <w:t xml:space="preserve">— not</w:t>
            </w:r>
            <w:r>
              <w:t xml:space="preserve"> </w:t>
            </w:r>
            <w:r>
              <w:t xml:space="preserve">“said”</w:t>
            </w:r>
            <w:r>
              <w:t xml:space="preserve">; the warning is perpetually alive; the wilderness generation tested God for forty years and provoked Him</w:t>
            </w:r>
          </w:p>
        </w:tc>
      </w:tr>
      <w:tr>
        <w:tc>
          <w:tcPr/>
          <w:p>
            <w:pPr>
              <w:pStyle w:val="Compact"/>
            </w:pPr>
            <w:r>
              <w:t xml:space="preserve">12</w:t>
            </w:r>
          </w:p>
        </w:tc>
        <w:tc>
          <w:tcPr/>
          <w:p>
            <w:pPr>
              <w:pStyle w:val="Compact"/>
            </w:pPr>
            <w:r>
              <w:t xml:space="preserve">Warning:</w:t>
            </w:r>
            <w:r>
              <w:t xml:space="preserve"> </w:t>
            </w:r>
            <w:r>
              <w:t xml:space="preserve">“Take care, brothers, lest there be in any of you an evil, unbelieving heart, leading you to fall away from the living God”</w:t>
            </w:r>
          </w:p>
        </w:tc>
        <w:tc>
          <w:tcPr/>
          <w:p>
            <w:pPr>
              <w:pStyle w:val="Compact"/>
            </w:pPr>
            <w:r>
              <w:t xml:space="preserve">The diagnosis is precise: unbelief → evil heart → falling away; the sequence matters — apostasy doesn’t begin with a dramatic defection but with an unbelieving internal disposition</w:t>
            </w:r>
          </w:p>
        </w:tc>
      </w:tr>
      <w:tr>
        <w:tc>
          <w:tcPr/>
          <w:p>
            <w:pPr>
              <w:pStyle w:val="Compact"/>
            </w:pPr>
            <w:r>
              <w:t xml:space="preserve">13</w:t>
            </w:r>
          </w:p>
        </w:tc>
        <w:tc>
          <w:tcPr/>
          <w:p>
            <w:pPr>
              <w:pStyle w:val="Compact"/>
            </w:pPr>
            <w:r>
              <w:t xml:space="preserve">Antidote:</w:t>
            </w:r>
            <w:r>
              <w:t xml:space="preserve"> </w:t>
            </w:r>
            <w:r>
              <w:t xml:space="preserve">“Exhort one another every day, as long as it is called</w:t>
            </w:r>
            <w:r>
              <w:t xml:space="preserve"> </w:t>
            </w:r>
            <w:r>
              <w:t xml:space="preserve">‘today,’</w:t>
            </w:r>
            <w:r>
              <w:t xml:space="preserve"> </w:t>
            </w:r>
            <w:r>
              <w:t xml:space="preserve">that none of you may be hardened by the deceitfulness of sin”</w:t>
            </w:r>
          </w:p>
        </w:tc>
        <w:tc>
          <w:tcPr/>
          <w:p>
            <w:pPr>
              <w:pStyle w:val="Compact"/>
            </w:pPr>
            <w:r>
              <w:t xml:space="preserve">“Every day”</w:t>
            </w:r>
            <w:r>
              <w:t xml:space="preserve"> </w:t>
            </w:r>
            <w:r>
              <w:t xml:space="preserve">matches the urgency of</w:t>
            </w:r>
            <w:r>
              <w:t xml:space="preserve"> </w:t>
            </w:r>
            <w:r>
              <w:t xml:space="preserve">“Today”</w:t>
            </w:r>
            <w:r>
              <w:t xml:space="preserve">; sin is</w:t>
            </w:r>
            <w:r>
              <w:t xml:space="preserve"> </w:t>
            </w:r>
            <w:r>
              <w:rPr>
                <w:i/>
                <w:iCs/>
              </w:rPr>
              <w:t xml:space="preserve">deceitful</w:t>
            </w:r>
            <w:r>
              <w:t xml:space="preserve"> </w:t>
            </w:r>
            <w:r>
              <w:t xml:space="preserve">— it lies about what it is offering and where it is leading; the community is the instrument of prevention</w:t>
            </w:r>
          </w:p>
        </w:tc>
      </w:tr>
      <w:tr>
        <w:tc>
          <w:tcPr/>
          <w:p>
            <w:pPr>
              <w:pStyle w:val="Compact"/>
            </w:pPr>
            <w:r>
              <w:t xml:space="preserve">14</w:t>
            </w:r>
          </w:p>
        </w:tc>
        <w:tc>
          <w:tcPr/>
          <w:p>
            <w:pPr>
              <w:pStyle w:val="Compact"/>
            </w:pPr>
            <w:r>
              <w:t xml:space="preserve">“We have come to share in Christ,</w:t>
            </w:r>
            <w:r>
              <w:t xml:space="preserve"> </w:t>
            </w:r>
            <w:r>
              <w:rPr>
                <w:i/>
                <w:iCs/>
              </w:rPr>
              <w:t xml:space="preserve">if indeed</w:t>
            </w:r>
            <w:r>
              <w:t xml:space="preserve"> </w:t>
            </w:r>
            <w:r>
              <w:t xml:space="preserve">we hold our original confidence firm to the end”</w:t>
            </w:r>
          </w:p>
        </w:tc>
        <w:tc>
          <w:tcPr/>
          <w:p>
            <w:pPr>
              <w:pStyle w:val="Compact"/>
            </w:pPr>
            <w:r>
              <w:t xml:space="preserve">Second</w:t>
            </w:r>
            <w:r>
              <w:t xml:space="preserve"> </w:t>
            </w:r>
            <w:r>
              <w:t xml:space="preserve">“hold fast”</w:t>
            </w:r>
            <w:r>
              <w:t xml:space="preserve">; the participatio Christi is confirmed by perseverance, not produced by it</w:t>
            </w:r>
          </w:p>
        </w:tc>
      </w:tr>
      <w:tr>
        <w:tc>
          <w:tcPr/>
          <w:p>
            <w:pPr>
              <w:pStyle w:val="Compact"/>
            </w:pPr>
            <w:r>
              <w:t xml:space="preserve">15</w:t>
            </w:r>
          </w:p>
        </w:tc>
        <w:tc>
          <w:tcPr/>
          <w:p>
            <w:pPr>
              <w:pStyle w:val="Compact"/>
            </w:pPr>
            <w:r>
              <w:t xml:space="preserve">Psalm 95 re-quoted:</w:t>
            </w:r>
            <w:r>
              <w:t xml:space="preserve"> </w:t>
            </w:r>
            <w:r>
              <w:t xml:space="preserve">“Today, if you hear his voice, do not harden your hearts as in the rebellion”</w:t>
            </w:r>
          </w:p>
        </w:tc>
        <w:tc>
          <w:tcPr/>
          <w:p>
            <w:pPr>
              <w:pStyle w:val="Compact"/>
            </w:pPr>
            <w:r>
              <w:t xml:space="preserve">The repetition anchors the application —</w:t>
            </w:r>
            <w:r>
              <w:t xml:space="preserve"> </w:t>
            </w:r>
            <w:r>
              <w:t xml:space="preserve">“today”</w:t>
            </w:r>
            <w:r>
              <w:t xml:space="preserve"> </w:t>
            </w:r>
            <w:r>
              <w:t xml:space="preserve">is the window; hardening closes it</w:t>
            </w:r>
          </w:p>
        </w:tc>
      </w:tr>
      <w:tr>
        <w:tc>
          <w:tcPr/>
          <w:p>
            <w:pPr>
              <w:pStyle w:val="Compact"/>
            </w:pPr>
            <w:r>
              <w:t xml:space="preserve">16–18</w:t>
            </w:r>
          </w:p>
        </w:tc>
        <w:tc>
          <w:tcPr/>
          <w:p>
            <w:pPr>
              <w:pStyle w:val="Compact"/>
            </w:pPr>
            <w:r>
              <w:t xml:space="preserve">Three rhetorical questions: Who rebelled? All who left Egypt under Moses. With whom was God provoked? Those who sinned. To whom did He swear they would not enter rest? Those who disobeyed.</w:t>
            </w:r>
          </w:p>
        </w:tc>
        <w:tc>
          <w:tcPr/>
          <w:p>
            <w:pPr>
              <w:pStyle w:val="Compact"/>
            </w:pPr>
            <w:r>
              <w:t xml:space="preserve">The answer to each question is the same generation — those who</w:t>
            </w:r>
            <w:r>
              <w:t xml:space="preserve"> </w:t>
            </w:r>
            <w:r>
              <w:rPr>
                <w:i/>
                <w:iCs/>
              </w:rPr>
              <w:t xml:space="preserve">came out</w:t>
            </w:r>
            <w:r>
              <w:t xml:space="preserve"> </w:t>
            </w:r>
            <w:r>
              <w:t xml:space="preserve">under Moses but never entered; the full weight of the Israel-type lands here</w:t>
            </w:r>
          </w:p>
        </w:tc>
      </w:tr>
      <w:tr>
        <w:tc>
          <w:tcPr/>
          <w:p>
            <w:pPr>
              <w:pStyle w:val="Compact"/>
            </w:pPr>
            <w:r>
              <w:t xml:space="preserve">19</w:t>
            </w:r>
          </w:p>
        </w:tc>
        <w:tc>
          <w:tcPr/>
          <w:p>
            <w:pPr>
              <w:pStyle w:val="Compact"/>
            </w:pPr>
            <w:r>
              <w:t xml:space="preserve">Conclusion:</w:t>
            </w:r>
            <w:r>
              <w:t xml:space="preserve"> </w:t>
            </w:r>
            <w:r>
              <w:t xml:space="preserve">“So we see that they were unable to enter because of unbelief”</w:t>
            </w:r>
          </w:p>
        </w:tc>
        <w:tc>
          <w:tcPr/>
          <w:p>
            <w:pPr>
              <w:pStyle w:val="Compact"/>
            </w:pPr>
            <w:r>
              <w:t xml:space="preserve">The wilderness generation’s failure reduced to its single cause:</w:t>
            </w:r>
            <w:r>
              <w:t xml:space="preserve"> </w:t>
            </w:r>
            <w:r>
              <w:rPr>
                <w:i/>
                <w:iCs/>
              </w:rPr>
              <w:t xml:space="preserve">unbelief</w:t>
            </w:r>
            <w:r>
              <w:t xml:space="preserve"> </w:t>
            </w:r>
            <w:r>
              <w:t xml:space="preserve">— not lack of opportunity, not divine abandonment, not circumstance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1–6</w:t>
            </w:r>
          </w:p>
        </w:tc>
        <w:tc>
          <w:tcPr/>
          <w:p>
            <w:pPr>
              <w:pStyle w:val="Compact"/>
            </w:pPr>
            <w:r>
              <w:t xml:space="preserve">The Son over the House: Christ’s Superiority to Moses</w:t>
            </w:r>
          </w:p>
        </w:tc>
      </w:tr>
      <w:tr>
        <w:tc>
          <w:tcPr/>
          <w:p>
            <w:pPr>
              <w:pStyle w:val="Compact"/>
            </w:pPr>
            <w:r>
              <w:t xml:space="preserve">2</w:t>
            </w:r>
          </w:p>
        </w:tc>
        <w:tc>
          <w:tcPr/>
          <w:p>
            <w:pPr>
              <w:pStyle w:val="Compact"/>
            </w:pPr>
            <w:r>
              <w:t xml:space="preserve">7–11</w:t>
            </w:r>
          </w:p>
        </w:tc>
        <w:tc>
          <w:tcPr/>
          <w:p>
            <w:pPr>
              <w:pStyle w:val="Compact"/>
            </w:pPr>
            <w:r>
              <w:t xml:space="preserve">The Spirit’s Warning: Psalm 95 and the Pattern of Hardening</w:t>
            </w:r>
          </w:p>
        </w:tc>
      </w:tr>
      <w:tr>
        <w:tc>
          <w:tcPr/>
          <w:p>
            <w:pPr>
              <w:pStyle w:val="Compact"/>
            </w:pPr>
            <w:r>
              <w:t xml:space="preserve">3</w:t>
            </w:r>
          </w:p>
        </w:tc>
        <w:tc>
          <w:tcPr/>
          <w:p>
            <w:pPr>
              <w:pStyle w:val="Compact"/>
            </w:pPr>
            <w:r>
              <w:t xml:space="preserve">12–15</w:t>
            </w:r>
          </w:p>
        </w:tc>
        <w:tc>
          <w:tcPr/>
          <w:p>
            <w:pPr>
              <w:pStyle w:val="Compact"/>
            </w:pPr>
            <w:r>
              <w:t xml:space="preserve">The Pastoral Application: Community Vigilance Against Unbelief</w:t>
            </w:r>
          </w:p>
        </w:tc>
      </w:tr>
      <w:tr>
        <w:tc>
          <w:tcPr/>
          <w:p>
            <w:pPr>
              <w:pStyle w:val="Compact"/>
            </w:pPr>
            <w:r>
              <w:t xml:space="preserve">4</w:t>
            </w:r>
          </w:p>
        </w:tc>
        <w:tc>
          <w:tcPr/>
          <w:p>
            <w:pPr>
              <w:pStyle w:val="Compact"/>
            </w:pPr>
            <w:r>
              <w:t xml:space="preserve">16–19</w:t>
            </w:r>
          </w:p>
        </w:tc>
        <w:tc>
          <w:tcPr/>
          <w:p>
            <w:pPr>
              <w:pStyle w:val="Compact"/>
            </w:pPr>
            <w:r>
              <w:t xml:space="preserve">The Diagnostic Conclusion: The Wilderness Generation’s Fatal Unbelief</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Christ surpasses Moses — hold fast to Him or risk the wilderness generation’s fatal unbelief.</w:t>
      </w:r>
    </w:p>
    <w:p>
      <w:pPr>
        <w:pStyle w:val="BodyText"/>
      </w:pPr>
      <w:r>
        <w:rPr>
          <w:b/>
          <w:bCs/>
        </w:rPr>
        <w:t xml:space="preserve">Primary Claim:</w:t>
      </w:r>
      <w:r>
        <w:t xml:space="preserve"> </w:t>
      </w:r>
      <w:r>
        <w:t xml:space="preserve">God is warning His people that the same hardening that destroyed the wilderness generation is possible today — and commanding them to fix their eyes on the superior Son and hold fast together, because unbelief does not announce itself; it accumulates.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Fix your eyes on Jesus before you try to hold fast to Him.</w:t>
      </w:r>
      <w:r>
        <w:t xml:space="preserve"> </w:t>
      </w:r>
      <w:r>
        <w:rPr>
          <w:i/>
          <w:iCs/>
        </w:rPr>
        <w:t xml:space="preserve">(Mind/belief)</w:t>
      </w:r>
      <w:r>
        <w:t xml:space="preserve"> </w:t>
      </w:r>
      <w:r>
        <w:t xml:space="preserve">The chapter begins with a command that precedes all the warnings:</w:t>
      </w:r>
      <w:r>
        <w:t xml:space="preserve"> </w:t>
      </w:r>
      <w:r>
        <w:t xml:space="preserve">“Consider Jesus”</w:t>
      </w:r>
      <w:r>
        <w:t xml:space="preserve"> </w:t>
      </w:r>
      <w:r>
        <w:t xml:space="preserve">(v. 1). The verb is katanoeō — careful, sustained, deliberate contemplation. The author does not begin with</w:t>
      </w:r>
      <w:r>
        <w:t xml:space="preserve"> </w:t>
      </w:r>
      <w:r>
        <w:t xml:space="preserve">“try harder”</w:t>
      </w:r>
      <w:r>
        <w:t xml:space="preserve"> </w:t>
      </w:r>
      <w:r>
        <w:t xml:space="preserve">or</w:t>
      </w:r>
      <w:r>
        <w:t xml:space="preserve"> </w:t>
      </w:r>
      <w:r>
        <w:t xml:space="preserve">“be more vigilant”</w:t>
      </w:r>
      <w:r>
        <w:t xml:space="preserve"> </w:t>
      </w:r>
      <w:r>
        <w:t xml:space="preserve">— he begins with</w:t>
      </w:r>
      <w:r>
        <w:t xml:space="preserve"> </w:t>
      </w:r>
      <w:r>
        <w:t xml:space="preserve">“look at Him.”</w:t>
      </w:r>
      <w:r>
        <w:t xml:space="preserve"> </w:t>
      </w:r>
      <w:r>
        <w:t xml:space="preserve">The pattern of hardening begins with eyes that have drifted; the antidote begins with eyes that return. Whatever is currently filling your contemplative attention most fully — your fears, your unresolved doubts, the pressure to return to familiar religious forms — the primary call of this passage is to displace it with a sustained, daily considering of Jesus as the one who was appointed, who was faithful, and who is Son over the house. You cannot hold fast to someone you are not looking at.</w:t>
      </w:r>
    </w:p>
    <w:p>
      <w:pPr>
        <w:pStyle w:val="BodyText"/>
      </w:pPr>
      <w:r>
        <w:rPr>
          <w:b/>
          <w:bCs/>
        </w:rPr>
        <w:t xml:space="preserve">2. Take sin’s deceitfulness more seriously than its attractiveness.</w:t>
      </w:r>
      <w:r>
        <w:t xml:space="preserve"> </w:t>
      </w:r>
      <w:r>
        <w:rPr>
          <w:i/>
          <w:iCs/>
        </w:rPr>
        <w:t xml:space="preserve">(Mind/belief)</w:t>
      </w:r>
      <w:r>
        <w:t xml:space="preserve"> </w:t>
      </w:r>
      <w:r>
        <w:t xml:space="preserve">Verse 13 names the mechanism precisely: it is not</w:t>
      </w:r>
      <w:r>
        <w:t xml:space="preserve"> </w:t>
      </w:r>
      <w:r>
        <w:rPr>
          <w:i/>
          <w:iCs/>
        </w:rPr>
        <w:t xml:space="preserve">sin’s power</w:t>
      </w:r>
      <w:r>
        <w:t xml:space="preserve"> </w:t>
      </w:r>
      <w:r>
        <w:t xml:space="preserve">that hardens but</w:t>
      </w:r>
      <w:r>
        <w:t xml:space="preserve"> </w:t>
      </w:r>
      <w:r>
        <w:rPr>
          <w:i/>
          <w:iCs/>
        </w:rPr>
        <w:t xml:space="preserve">sin’s deceitfulness</w:t>
      </w:r>
      <w:r>
        <w:t xml:space="preserve">. Sin lies. It lies about what it is offering — not freedom but bondage, not satisfaction but escalating appetite, not rest but restlessness. It lies about where it is leading — not to a better life but toward a hardened heart and a narrowed capacity to hear God’s voice. The person most in danger is not the one who finds sin obviously appealing but the one who has begun to find the world’s alternative to Christ</w:t>
      </w:r>
      <w:r>
        <w:t xml:space="preserve"> </w:t>
      </w:r>
      <w:r>
        <w:rPr>
          <w:i/>
          <w:iCs/>
        </w:rPr>
        <w:t xml:space="preserve">reasonable</w:t>
      </w:r>
      <w:r>
        <w:t xml:space="preserve"> </w:t>
      </w:r>
      <w:r>
        <w:t xml:space="preserve">— plausible, even mature. When sin starts sounding like wisdom, the deceit is already advanced. This passage calls for a suspicion toward your own rationalizations — a disciplined refusal to trust the voice that tells you drifting is acceptable.</w:t>
      </w:r>
    </w:p>
    <w:p>
      <w:pPr>
        <w:pStyle w:val="BodyText"/>
      </w:pPr>
      <w:r>
        <w:rPr>
          <w:b/>
          <w:bCs/>
        </w:rPr>
        <w:t xml:space="preserve">3. Let the urgency of</w:t>
      </w:r>
      <w:r>
        <w:rPr>
          <w:b/>
          <w:bCs/>
        </w:rPr>
        <w:t xml:space="preserve"> </w:t>
      </w:r>
      <w:r>
        <w:rPr>
          <w:b/>
          <w:bCs/>
        </w:rPr>
        <w:t xml:space="preserve">“today”</w:t>
      </w:r>
      <w:r>
        <w:rPr>
          <w:b/>
          <w:bCs/>
        </w:rPr>
        <w:t xml:space="preserve"> </w:t>
      </w:r>
      <w:r>
        <w:rPr>
          <w:b/>
          <w:bCs/>
        </w:rPr>
        <w:t xml:space="preserve">interrupt your tendency to defer spiritual vigilance.</w:t>
      </w:r>
      <w:r>
        <w:t xml:space="preserve"> </w:t>
      </w:r>
      <w:r>
        <w:rPr>
          <w:i/>
          <w:iCs/>
        </w:rPr>
        <w:t xml:space="preserve">(Affections/worship)</w:t>
      </w:r>
      <w:r>
        <w:t xml:space="preserve"> </w:t>
      </w:r>
      <w:r>
        <w:t xml:space="preserve">The author cites Psalm 95 because of its single repeated word:</w:t>
      </w:r>
      <w:r>
        <w:t xml:space="preserve"> </w:t>
      </w:r>
      <w:r>
        <w:rPr>
          <w:i/>
          <w:iCs/>
        </w:rPr>
        <w:t xml:space="preserve">today</w:t>
      </w:r>
      <w:r>
        <w:t xml:space="preserve">.</w:t>
      </w:r>
      <w:r>
        <w:t xml:space="preserve"> </w:t>
      </w:r>
      <w:r>
        <w:t xml:space="preserve">“Today, if you hear his voice.”</w:t>
      </w:r>
      <w:r>
        <w:t xml:space="preserve"> </w:t>
      </w:r>
      <w:r>
        <w:t xml:space="preserve">The window is now. The author is not manufacturing urgency — he is reflecting the Spirit’s own word. The heart’s tendency under pressure is to defer: defer the confrontation with unbelief, defer the return to community, defer the honest conversation with a brother or sister about where you actually are spiritually. But the Spirit does not offer a deferral window. The</w:t>
      </w:r>
      <w:r>
        <w:t xml:space="preserve"> </w:t>
      </w:r>
      <w:r>
        <w:t xml:space="preserve">“today”</w:t>
      </w:r>
      <w:r>
        <w:t xml:space="preserve"> </w:t>
      </w:r>
      <w:r>
        <w:t xml:space="preserve">that David applied to his generation centuries after Kadesh Barnea, the author now applies to his readers, and that same</w:t>
      </w:r>
      <w:r>
        <w:t xml:space="preserve"> </w:t>
      </w:r>
      <w:r>
        <w:t xml:space="preserve">“today”</w:t>
      </w:r>
      <w:r>
        <w:t xml:space="preserve"> </w:t>
      </w:r>
      <w:r>
        <w:t xml:space="preserve">extends to every generation that reads this text. The question is not whether you will eventually deal with the drift — the question is whether you will deal with it now, while it is still called today.</w:t>
      </w:r>
    </w:p>
    <w:p>
      <w:pPr>
        <w:pStyle w:val="BodyText"/>
      </w:pPr>
      <w:r>
        <w:rPr>
          <w:b/>
          <w:bCs/>
        </w:rPr>
        <w:t xml:space="preserve">4. Stop trying to hold fast alone.</w:t>
      </w:r>
      <w:r>
        <w:t xml:space="preserve"> </w:t>
      </w:r>
      <w:r>
        <w:rPr>
          <w:i/>
          <w:iCs/>
        </w:rPr>
        <w:t xml:space="preserve">(Will/behavior)</w:t>
      </w:r>
      <w:r>
        <w:t xml:space="preserve"> </w:t>
      </w:r>
      <w:r>
        <w:t xml:space="preserve">The antidote to hardening in verse 13 is not private discipline — it is communal speech:</w:t>
      </w:r>
      <w:r>
        <w:t xml:space="preserve"> </w:t>
      </w:r>
      <w:r>
        <w:t xml:space="preserve">“exhort one another every day.”</w:t>
      </w:r>
      <w:r>
        <w:t xml:space="preserve"> </w:t>
      </w:r>
      <w:r>
        <w:t xml:space="preserve">The instrument God has appointed for preventing apostasy is</w:t>
      </w:r>
      <w:r>
        <w:t xml:space="preserve"> </w:t>
      </w:r>
      <w:r>
        <w:rPr>
          <w:i/>
          <w:iCs/>
        </w:rPr>
        <w:t xml:space="preserve">other Christians speaking into your life daily</w:t>
      </w:r>
      <w:r>
        <w:t xml:space="preserve">. Not weekly, not occasionally, not in moments of obvious crisis — every day, as long as it is called</w:t>
      </w:r>
      <w:r>
        <w:t xml:space="preserve"> </w:t>
      </w:r>
      <w:r>
        <w:t xml:space="preserve">“today.”</w:t>
      </w:r>
      <w:r>
        <w:t xml:space="preserve"> </w:t>
      </w:r>
      <w:r>
        <w:t xml:space="preserve">This means the person who is withdrawing from Christian community precisely when they are most spiritually vulnerable is doing the opposite of what this passage prescribes. Identify one or two people with whom you are honest about your interior life — honest about doubt, honest about the pull toward drift, honest about where your confidence in Christ is thin. Then be in each other’s ears. That is not spiritual dependency; that is obedience to this text.</w:t>
      </w:r>
    </w:p>
    <w:p>
      <w:pPr>
        <w:pStyle w:val="BodyText"/>
      </w:pPr>
      <w:r>
        <w:rPr>
          <w:b/>
          <w:bCs/>
        </w:rPr>
        <w:t xml:space="preserve">5. Examine whether your confidence is in Christ’s person or in your religious performance.</w:t>
      </w:r>
      <w:r>
        <w:t xml:space="preserve"> </w:t>
      </w:r>
      <w:r>
        <w:rPr>
          <w:i/>
          <w:iCs/>
        </w:rPr>
        <w:t xml:space="preserve">(Affections/worship)</w:t>
      </w:r>
      <w:r>
        <w:t xml:space="preserve"> </w:t>
      </w:r>
      <w:r>
        <w:t xml:space="preserve">The wilderness generation is the passage’s great type — and their failure was not that they lacked religious activity. They had the exodus. They had manna. They had the pillar of cloud and fire. They had forty years of God’s direct provision. And they died in unbelief. Proximity to God’s acts, participation in the community of the covenant, and exposure to every form of divine blessing did not produce saving faith — only the object of faith, held fast, does that. The readers of Hebrews were in danger not of irreligion but of redirecting their religious confidence from Christ to Moses — from the Son to the servant. The question this passage presses on every reader is not</w:t>
      </w:r>
      <w:r>
        <w:t xml:space="preserve"> </w:t>
      </w:r>
      <w:r>
        <w:t xml:space="preserve">“are you religious?”</w:t>
      </w:r>
      <w:r>
        <w:t xml:space="preserve"> </w:t>
      </w:r>
      <w:r>
        <w:t xml:space="preserve">but</w:t>
      </w:r>
      <w:r>
        <w:t xml:space="preserve"> </w:t>
      </w:r>
      <w:r>
        <w:t xml:space="preserve">“is your confidence actually</w:t>
      </w:r>
      <w:r>
        <w:t xml:space="preserve"> </w:t>
      </w:r>
      <w:r>
        <w:rPr>
          <w:i/>
          <w:iCs/>
        </w:rPr>
        <w:t xml:space="preserve">in</w:t>
      </w:r>
      <w:r>
        <w:t xml:space="preserve"> </w:t>
      </w:r>
      <w:r>
        <w:t xml:space="preserve">Christ — His person, His priesthood, His mediation — or in the forms and structures through which you encounter religious life?”</w:t>
      </w:r>
      <w:r>
        <w:t xml:space="preserve"> </w:t>
      </w:r>
      <w:r>
        <w:t xml:space="preserve">The two can feel identical from the inside until pressure separates them.</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Hebrews 3 teaches that Christ is not merely superior to Moses in degree but in kind — not a better servant but a Son, and not merely</w:t>
      </w:r>
      <w:r>
        <w:t xml:space="preserve"> </w:t>
      </w:r>
      <w:r>
        <w:rPr>
          <w:i/>
          <w:iCs/>
        </w:rPr>
        <w:t xml:space="preserve">in</w:t>
      </w:r>
      <w:r>
        <w:t xml:space="preserve"> </w:t>
      </w:r>
      <w:r>
        <w:t xml:space="preserve">the household of God’s people but the very one who</w:t>
      </w:r>
      <w:r>
        <w:t xml:space="preserve"> </w:t>
      </w:r>
      <w:r>
        <w:rPr>
          <w:i/>
          <w:iCs/>
        </w:rPr>
        <w:t xml:space="preserve">constitutes</w:t>
      </w:r>
      <w:r>
        <w:t xml:space="preserve"> </w:t>
      </w:r>
      <w:r>
        <w:t xml:space="preserve">it. This establishes the doctrine of Christ’s mediation on its highest possible ground: He does not administer a covenant from within it; He establishes it from above it. The chapter also teaches that hardening is a process, not an event — it begins with unbelief, advances through sin’s deceit, and culminates in a heart incapable of hearing God’s voice. This means the</w:t>
      </w:r>
      <w:r>
        <w:t xml:space="preserve"> </w:t>
      </w:r>
      <w:r>
        <w:t xml:space="preserve">“today”</w:t>
      </w:r>
      <w:r>
        <w:t xml:space="preserve"> </w:t>
      </w:r>
      <w:r>
        <w:t xml:space="preserve">of Psalm 95 is not a scare tactic but a genuine theological description of the heart’s capacity to close in the direction of God. God is the living God (v. 12) — a title that emphasizes His active, relational, and judicial presence; falling away from Him is not a metaphor for spiritual coldness but a movement toward judgment.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Hebrews 3 is a locus classicus for the Reformed doctrine of the perseverance of the saints understood through the theology of means. The warnings are not evidence that election is uncertain — they are the instruments of election’s fulfillment. The same Spirit who preserves the elect does so precisely through warnings like verse 12, exhortations like verse 13, and communal accountability like the structure the author assumes throughout. The conditional framing (</w:t>
      </w:r>
      <w:r>
        <w:t xml:space="preserve">“if we hold fast”</w:t>
      </w:r>
      <w:r>
        <w:t xml:space="preserve">) reflects not an uncertain outcome but a certain process — genuine faith perseveres, and perseverance has a shape: eyes on Christ, grip maintained, community engaged. The wilderness generation typology is also significant for covenant theology: it establishes that covenant membership and covenant enjoyment are not identical — one can be in the visible covenant community, exposed to every sign and ordinance of grace, and still fail to enter rest through unbelief. This gives Hebrews 3 its pastoral edge within a Reformed framework: the warnings are addressed to the congregation precisely because the congregation contains both those who will hold fast and those who will not, and the means appointed to distinguish them is the same means appointed to preserve the former.</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same hardening that kept an entire generation from entering God’s rest is not a danger that belongs to another age — the Spirit says</w:t>
      </w:r>
      <w:r>
        <w:t xml:space="preserve"> </w:t>
      </w:r>
      <w:r>
        <w:t xml:space="preserve">“today,”</w:t>
      </w:r>
      <w:r>
        <w:t xml:space="preserve"> </w:t>
      </w:r>
      <w:r>
        <w:t xml:space="preserve">and today the window is open. Fix your eyes on the Son who is over the house, not the servant who was in it. Stop drifting alone and start exhorting each other every day. Unbelief doesn’t announce itself — it accumulates quietly until the heart is hard. Hold fast now, while it is still called today.</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warning as merely hypothetical or as addressed to unbelievers only.</w:t>
      </w:r>
      <w:r>
        <w:t xml:space="preserve"> </w:t>
      </w:r>
      <w:r>
        <w:t xml:space="preserve">A common Reformed reflex is to read</w:t>
      </w:r>
      <w:r>
        <w:t xml:space="preserve"> </w:t>
      </w:r>
      <w:r>
        <w:t xml:space="preserve">“brothers”</w:t>
      </w:r>
      <w:r>
        <w:t xml:space="preserve"> </w:t>
      </w:r>
      <w:r>
        <w:t xml:space="preserve">in verse 12 as a loose address (not necessarily genuine believers) and defuse the warning before it lands. This is exegetically possible but homiletically catastrophic — it produces exactly the dull, untroubled heart the author is warning against. The Reformed preacher must let the warning be a warning before explaining the doctrinal framework that contains it. The congregation that never feels the urgency of</w:t>
      </w:r>
      <w:r>
        <w:t xml:space="preserve"> </w:t>
      </w:r>
      <w:r>
        <w:t xml:space="preserve">“Today, if you hear his voice”</w:t>
      </w:r>
      <w:r>
        <w:t xml:space="preserve"> </w:t>
      </w:r>
      <w:r>
        <w:t xml:space="preserve">has not heard the passage.</w:t>
      </w:r>
    </w:p>
    <w:p>
      <w:pPr>
        <w:numPr>
          <w:ilvl w:val="0"/>
          <w:numId w:val="1002"/>
        </w:numPr>
      </w:pPr>
      <w:r>
        <w:rPr>
          <w:b/>
          <w:bCs/>
        </w:rPr>
        <w:t xml:space="preserve">Preaching the five applications without the christological foundation.</w:t>
      </w:r>
      <w:r>
        <w:t xml:space="preserve"> </w:t>
      </w:r>
      <w:r>
        <w:t xml:space="preserve">The applications of Hebrews 3 (hold fast, exhort one another, don’t harden) can be preached as a self-improvement program without reference to the passage’s opening command:</w:t>
      </w:r>
      <w:r>
        <w:t xml:space="preserve"> </w:t>
      </w:r>
      <w:r>
        <w:t xml:space="preserve">“Consider Jesus.”</w:t>
      </w:r>
      <w:r>
        <w:t xml:space="preserve"> </w:t>
      </w:r>
      <w:r>
        <w:t xml:space="preserve">Any exposition that moves to the imperatives without first establishing the superiority of the Son has reproduced the Mosaic-servant pattern the author is arguing against — it produces religion, not faith.</w:t>
      </w:r>
    </w:p>
    <w:p>
      <w:pPr>
        <w:numPr>
          <w:ilvl w:val="0"/>
          <w:numId w:val="1002"/>
        </w:numPr>
      </w:pPr>
      <w:r>
        <w:rPr>
          <w:b/>
          <w:bCs/>
        </w:rPr>
        <w:t xml:space="preserve">Using the wilderness generation primarily as a cautionary tale about specific sins</w:t>
      </w:r>
      <w:r>
        <w:t xml:space="preserve"> </w:t>
      </w:r>
      <w:r>
        <w:t xml:space="preserve">rather than about the specific sin of unbelief. The author is explicit in verse 19: they failed to enter</w:t>
      </w:r>
      <w:r>
        <w:t xml:space="preserve"> </w:t>
      </w:r>
      <w:r>
        <w:t xml:space="preserve">“because of unbelief.”</w:t>
      </w:r>
      <w:r>
        <w:t xml:space="preserve"> </w:t>
      </w:r>
      <w:r>
        <w:t xml:space="preserve">Not because of immorality, idolatry, or Sabbath violation specifically — because of unbelief. Preaching that identifies the wilderness generation’s failure with any particular behavior sin misses the author’s precise diagnosis and produces behavioral correction where the text demands a faith examination.</w:t>
      </w:r>
    </w:p>
    <w:p>
      <w:pPr>
        <w:numPr>
          <w:ilvl w:val="0"/>
          <w:numId w:val="1002"/>
        </w:numPr>
      </w:pPr>
      <w:r>
        <w:rPr>
          <w:b/>
          <w:bCs/>
        </w:rPr>
        <w:t xml:space="preserve">Preaching</w:t>
      </w:r>
      <w:r>
        <w:rPr>
          <w:b/>
          <w:bCs/>
        </w:rPr>
        <w:t xml:space="preserve"> </w:t>
      </w:r>
      <w:r>
        <w:rPr>
          <w:b/>
          <w:bCs/>
        </w:rPr>
        <w:t xml:space="preserve">“hold fast”</w:t>
      </w:r>
      <w:r>
        <w:rPr>
          <w:b/>
          <w:bCs/>
        </w:rPr>
        <w:t xml:space="preserve"> </w:t>
      </w:r>
      <w:r>
        <w:rPr>
          <w:b/>
          <w:bCs/>
        </w:rPr>
        <w:t xml:space="preserve">as a call to white-knuckled individual perseverance.</w:t>
      </w:r>
      <w:r>
        <w:t xml:space="preserve"> </w:t>
      </w:r>
      <w:r>
        <w:t xml:space="preserve">The passage’s antidote is communal, not solitary. Verse 13 is plural and daily —</w:t>
      </w:r>
      <w:r>
        <w:t xml:space="preserve"> </w:t>
      </w:r>
      <w:r>
        <w:t xml:space="preserve">“exhort one another.”</w:t>
      </w:r>
      <w:r>
        <w:t xml:space="preserve"> </w:t>
      </w:r>
      <w:r>
        <w:t xml:space="preserve">Any application of</w:t>
      </w:r>
      <w:r>
        <w:t xml:space="preserve"> </w:t>
      </w:r>
      <w:r>
        <w:t xml:space="preserve">“hold fast”</w:t>
      </w:r>
      <w:r>
        <w:t xml:space="preserve"> </w:t>
      </w:r>
      <w:r>
        <w:t xml:space="preserve">that does not drive people toward specific, honest, daily Christian community has truncated the passage’s own prescription. The warning and the remedy must both be preached.</w:t>
      </w:r>
    </w:p>
    <w:p>
      <w:pPr>
        <w:numPr>
          <w:ilvl w:val="0"/>
          <w:numId w:val="1002"/>
        </w:numPr>
      </w:pPr>
      <w:r>
        <w:rPr>
          <w:b/>
          <w:bCs/>
        </w:rPr>
        <w:t xml:space="preserve">Failing to establish the</w:t>
      </w:r>
      <w:r>
        <w:rPr>
          <w:b/>
          <w:bCs/>
        </w:rPr>
        <w:t xml:space="preserve"> </w:t>
      </w:r>
      <w:r>
        <w:rPr>
          <w:b/>
          <w:bCs/>
        </w:rPr>
        <w:t xml:space="preserve">“today”</w:t>
      </w:r>
      <w:r>
        <w:rPr>
          <w:b/>
          <w:bCs/>
        </w:rPr>
        <w:t xml:space="preserve"> </w:t>
      </w:r>
      <w:r>
        <w:rPr>
          <w:b/>
          <w:bCs/>
        </w:rPr>
        <w:t xml:space="preserve">as perpetually present.</w:t>
      </w:r>
      <w:r>
        <w:t xml:space="preserve"> </w:t>
      </w:r>
      <w:r>
        <w:t xml:space="preserve">The author’s interpretive move in citing Psalm 95 is specifically to show that</w:t>
      </w:r>
      <w:r>
        <w:t xml:space="preserve"> </w:t>
      </w:r>
      <w:r>
        <w:t xml:space="preserve">“today”</w:t>
      </w:r>
      <w:r>
        <w:t xml:space="preserve"> </w:t>
      </w:r>
      <w:r>
        <w:t xml:space="preserve">extends beyond Kadesh Barnea, beyond David’s generation, into every present moment of every reader. Exposition that treats the wilderness narrative as background illustration without pressing the</w:t>
      </w:r>
      <w:r>
        <w:t xml:space="preserve"> </w:t>
      </w:r>
      <w:r>
        <w:t xml:space="preserve">“today”</w:t>
      </w:r>
      <w:r>
        <w:t xml:space="preserve"> </w:t>
      </w:r>
      <w:r>
        <w:t xml:space="preserve">into the present moment of the congregation has missed the author’s hermeneutical point — and the Spirit’s own word, which the author presents as present-tense (</w:t>
      </w:r>
      <w:r>
        <w:t xml:space="preserve">“as the Holy Spirit</w:t>
      </w:r>
      <w:r>
        <w:t xml:space="preserve"> </w:t>
      </w:r>
      <w:r>
        <w:rPr>
          <w:i/>
          <w:iCs/>
        </w:rPr>
        <w:t xml:space="preserve">says</w:t>
      </w:r>
      <w:r>
        <w:t xml:space="preserve">,”</w:t>
      </w:r>
      <w:r>
        <w:t xml:space="preserve"> </w:t>
      </w:r>
      <w:r>
        <w:t xml:space="preserve">not</w:t>
      </w:r>
      <w:r>
        <w:t xml:space="preserve"> </w:t>
      </w:r>
      <w:r>
        <w:t xml:space="preserve">“said”</w:t>
      </w:r>
      <w:r>
        <w:t xml:space="preserve">).</w:t>
      </w:r>
    </w:p>
    <w:p>
      <w:pPr>
        <w:numPr>
          <w:ilvl w:val="0"/>
          <w:numId w:val="1002"/>
        </w:numPr>
      </w:pPr>
      <w:r>
        <w:rPr>
          <w:b/>
          <w:bCs/>
        </w:rPr>
        <w:t xml:space="preserve">Overemphasizing the Moses/Christ comparison at the expense of the warning.</w:t>
      </w:r>
      <w:r>
        <w:t xml:space="preserve"> </w:t>
      </w:r>
      <w:r>
        <w:t xml:space="preserve">The christological comparison (vv. 1–6) is genuinely rich and worth careful exposition. But the chapter’s center of gravity is in the warning (vv. 7–19), and a sermon that dwells long on the servant/Son typology and rushes the pastoral application has misread the chapter’s intent. The comparison exists to establish why walking away from Christ is categorically more dangerous than the wilderness generation’s walking away from Moses — the warning is the point, and the comparison is its foundation.</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2026-07-14T21:08:23Z</dcterms:created>
  <dcterms:modified xsi:type="dcterms:W3CDTF">2026-07-14T21:08:23Z</dcterms:modified>
</cp:coreProperties>
</file>

<file path=docProps/custom.xml><?xml version="1.0" encoding="utf-8"?>
<Properties xmlns="http://schemas.openxmlformats.org/officeDocument/2006/custom-properties" xmlns:vt="http://schemas.openxmlformats.org/officeDocument/2006/docPropsVTypes"/>
</file>